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Dear President [NAME] and V.P. of Student Services [NAME],</w:t>
      </w:r>
    </w:p>
    <w:p w:rsidR="00000000" w:rsidDel="00000000" w:rsidP="00000000" w:rsidRDefault="00000000" w:rsidRPr="00000000" w14:paraId="00000002">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3">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The Student Senate for California Community Colleges (SSCCC) is a 501(c)(3) nonprofit student organization recognized by the Board of Governors of the California Community Colleges. The mission of the SSCCC is to pursue policies that will improve student access, promote student success, engage and empower local student leaders, and enrich the collegiate experience for all California community college students. The embodiment of the Student Senate for California Community Colleges is the Delegate Assembly, which consists of one delegate from each of the 116 local student body associations recognized pursuant to California Education Code §76060. </w:t>
      </w:r>
    </w:p>
    <w:p w:rsidR="00000000" w:rsidDel="00000000" w:rsidP="00000000" w:rsidRDefault="00000000" w:rsidRPr="00000000" w14:paraId="00000004">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5">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In Spring 2021, the SSCCC delegates passed </w:t>
      </w:r>
      <w:hyperlink r:id="rId6">
        <w:r w:rsidDel="00000000" w:rsidR="00000000" w:rsidRPr="00000000">
          <w:rPr>
            <w:rFonts w:ascii="Palatino" w:cs="Palatino" w:eastAsia="Palatino" w:hAnsi="Palatino"/>
            <w:color w:val="1155cc"/>
            <w:sz w:val="24"/>
            <w:szCs w:val="24"/>
            <w:u w:val="single"/>
            <w:rtl w:val="0"/>
          </w:rPr>
          <w:t xml:space="preserve">Resolution </w:t>
        </w:r>
      </w:hyperlink>
      <w:hyperlink r:id="rId7">
        <w:r w:rsidDel="00000000" w:rsidR="00000000" w:rsidRPr="00000000">
          <w:rPr>
            <w:rFonts w:ascii="Palatino" w:cs="Palatino" w:eastAsia="Palatino" w:hAnsi="Palatino"/>
            <w:color w:val="1155cc"/>
            <w:sz w:val="24"/>
            <w:szCs w:val="24"/>
            <w:u w:val="single"/>
            <w:rtl w:val="0"/>
          </w:rPr>
          <w:t xml:space="preserve">02.05 Student Empowerment in Hiring Practices</w:t>
        </w:r>
      </w:hyperlink>
      <w:r w:rsidDel="00000000" w:rsidR="00000000" w:rsidRPr="00000000">
        <w:rPr>
          <w:rFonts w:ascii="Palatino" w:cs="Palatino" w:eastAsia="Palatino" w:hAnsi="Palatino"/>
          <w:sz w:val="24"/>
          <w:szCs w:val="24"/>
          <w:rtl w:val="0"/>
        </w:rPr>
        <w:t xml:space="preserve"> during the 25th annual General Assembly</w:t>
      </w:r>
      <w:r w:rsidDel="00000000" w:rsidR="00000000" w:rsidRPr="00000000">
        <w:rPr>
          <w:rFonts w:ascii="Palatino" w:cs="Palatino" w:eastAsia="Palatino" w:hAnsi="Palatino"/>
          <w:sz w:val="24"/>
          <w:szCs w:val="24"/>
          <w:rtl w:val="0"/>
        </w:rPr>
        <w:t xml:space="preserve">. This resolution called for the Student Senate for California Community Colleges to advocate for students to sit on all hiring committees </w:t>
      </w:r>
      <w:r w:rsidDel="00000000" w:rsidR="00000000" w:rsidRPr="00000000">
        <w:rPr>
          <w:rFonts w:ascii="Palatino" w:cs="Palatino" w:eastAsia="Palatino" w:hAnsi="Palatino"/>
          <w:sz w:val="24"/>
          <w:szCs w:val="24"/>
          <w:rtl w:val="0"/>
        </w:rPr>
        <w:t xml:space="preserve">on their campuses,</w:t>
      </w:r>
      <w:r w:rsidDel="00000000" w:rsidR="00000000" w:rsidRPr="00000000">
        <w:rPr>
          <w:rtl w:val="0"/>
        </w:rPr>
      </w:r>
    </w:p>
    <w:p w:rsidR="00000000" w:rsidDel="00000000" w:rsidP="00000000" w:rsidRDefault="00000000" w:rsidRPr="00000000" w14:paraId="00000006">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7">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The purpose of this letter is to advocate for students to participate on </w:t>
      </w:r>
      <w:r w:rsidDel="00000000" w:rsidR="00000000" w:rsidRPr="00000000">
        <w:rPr>
          <w:rFonts w:ascii="Palatino" w:cs="Palatino" w:eastAsia="Palatino" w:hAnsi="Palatino"/>
          <w:i w:val="1"/>
          <w:sz w:val="24"/>
          <w:szCs w:val="24"/>
          <w:rtl w:val="0"/>
        </w:rPr>
        <w:t xml:space="preserve">all</w:t>
      </w:r>
      <w:r w:rsidDel="00000000" w:rsidR="00000000" w:rsidRPr="00000000">
        <w:rPr>
          <w:rFonts w:ascii="Palatino" w:cs="Palatino" w:eastAsia="Palatino" w:hAnsi="Palatino"/>
          <w:sz w:val="24"/>
          <w:szCs w:val="24"/>
          <w:rtl w:val="0"/>
        </w:rPr>
        <w:t xml:space="preserve"> hiring committees on their campus. </w:t>
      </w:r>
      <w:r w:rsidDel="00000000" w:rsidR="00000000" w:rsidRPr="00000000">
        <w:rPr>
          <w:rtl w:val="0"/>
        </w:rPr>
      </w:r>
    </w:p>
    <w:p w:rsidR="00000000" w:rsidDel="00000000" w:rsidP="00000000" w:rsidRDefault="00000000" w:rsidRPr="00000000" w14:paraId="00000008">
      <w:pPr>
        <w:rPr>
          <w:rFonts w:ascii="Palatino" w:cs="Palatino" w:eastAsia="Palatino" w:hAnsi="Palatino"/>
          <w:sz w:val="24"/>
          <w:szCs w:val="24"/>
          <w:highlight w:val="yellow"/>
        </w:rPr>
      </w:pPr>
      <w:r w:rsidDel="00000000" w:rsidR="00000000" w:rsidRPr="00000000">
        <w:rPr>
          <w:rtl w:val="0"/>
        </w:rPr>
      </w:r>
    </w:p>
    <w:p w:rsidR="00000000" w:rsidDel="00000000" w:rsidP="00000000" w:rsidRDefault="00000000" w:rsidRPr="00000000" w14:paraId="00000009">
      <w:pPr>
        <w:rPr>
          <w:rFonts w:ascii="Palatino" w:cs="Palatino" w:eastAsia="Palatino" w:hAnsi="Palatino"/>
          <w:sz w:val="24"/>
          <w:szCs w:val="24"/>
        </w:rPr>
      </w:pPr>
      <w:r w:rsidDel="00000000" w:rsidR="00000000" w:rsidRPr="00000000">
        <w:rPr>
          <w:rFonts w:ascii="Palatino" w:cs="Palatino" w:eastAsia="Palatino" w:hAnsi="Palatino"/>
          <w:b w:val="1"/>
          <w:sz w:val="24"/>
          <w:szCs w:val="24"/>
          <w:rtl w:val="0"/>
        </w:rPr>
        <w:t xml:space="preserve">Why our students should be participating on all hiring committees:</w:t>
      </w:r>
      <w:r w:rsidDel="00000000" w:rsidR="00000000" w:rsidRPr="00000000">
        <w:rPr>
          <w:rtl w:val="0"/>
        </w:rPr>
      </w:r>
    </w:p>
    <w:p w:rsidR="00000000" w:rsidDel="00000000" w:rsidP="00000000" w:rsidRDefault="00000000" w:rsidRPr="00000000" w14:paraId="0000000A">
      <w:pPr>
        <w:widowControl w:val="0"/>
        <w:numPr>
          <w:ilvl w:val="0"/>
          <w:numId w:val="1"/>
        </w:numPr>
        <w:spacing w:before="364.91943359375"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w:t>
      </w:r>
      <w:r w:rsidDel="00000000" w:rsidR="00000000" w:rsidRPr="00000000">
        <w:rPr>
          <w:rFonts w:ascii="Palatino" w:cs="Palatino" w:eastAsia="Palatino" w:hAnsi="Palatino"/>
          <w:sz w:val="24"/>
          <w:szCs w:val="24"/>
          <w:rtl w:val="0"/>
        </w:rPr>
        <w:t xml:space="preserve">he Board of Governors recommends the rights of students to participate in hiring committees as a best practice of Diversity, Equity, and Inclusion (DEI) work [1];</w:t>
      </w:r>
    </w:p>
    <w:p w:rsidR="00000000" w:rsidDel="00000000" w:rsidP="00000000" w:rsidRDefault="00000000" w:rsidRPr="00000000" w14:paraId="0000000B">
      <w:pPr>
        <w:widowControl w:val="0"/>
        <w:numPr>
          <w:ilvl w:val="0"/>
          <w:numId w:val="1"/>
        </w:numPr>
        <w:spacing w:after="0" w:afterAutospacing="0" w:before="0" w:lineRule="auto"/>
        <w:ind w:left="720" w:right="71.146240234375"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A legal opinion requested by the Association of Chief Human Resource Officers on whether the inclusion of students in hiring processes violates Title 5 found no such violations [4]; </w:t>
      </w:r>
    </w:p>
    <w:p w:rsidR="00000000" w:rsidDel="00000000" w:rsidP="00000000" w:rsidRDefault="00000000" w:rsidRPr="00000000" w14:paraId="0000000C">
      <w:pPr>
        <w:widowControl w:val="0"/>
        <w:numPr>
          <w:ilvl w:val="0"/>
          <w:numId w:val="1"/>
        </w:numPr>
        <w:spacing w:after="0" w:afterAutospacing="0" w:before="0" w:beforeAutospacing="0" w:lineRule="auto"/>
        <w:ind w:left="720" w:right="63.83056640625"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The inclusion of the student voice in recruitment practices leads toward the selection of individuals better suited to serve students; and  </w:t>
      </w:r>
    </w:p>
    <w:p w:rsidR="00000000" w:rsidDel="00000000" w:rsidP="00000000" w:rsidRDefault="00000000" w:rsidRPr="00000000" w14:paraId="0000000D">
      <w:pPr>
        <w:widowControl w:val="0"/>
        <w:numPr>
          <w:ilvl w:val="0"/>
          <w:numId w:val="1"/>
        </w:numPr>
        <w:spacing w:before="0" w:beforeAutospacing="0" w:lineRule="auto"/>
        <w:ind w:left="720" w:right="63.83056640625"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Cali</w:t>
      </w:r>
      <w:r w:rsidDel="00000000" w:rsidR="00000000" w:rsidRPr="00000000">
        <w:rPr>
          <w:rFonts w:ascii="Palatino" w:cs="Palatino" w:eastAsia="Palatino" w:hAnsi="Palatino"/>
          <w:sz w:val="24"/>
          <w:szCs w:val="24"/>
          <w:highlight w:val="white"/>
          <w:rtl w:val="0"/>
        </w:rPr>
        <w:t xml:space="preserve">fornia Education Code § 70902(a)(7) [5] states that</w:t>
      </w:r>
      <w:r w:rsidDel="00000000" w:rsidR="00000000" w:rsidRPr="00000000">
        <w:rPr>
          <w:rFonts w:ascii="Palatino" w:cs="Palatino" w:eastAsia="Palatino" w:hAnsi="Palatino"/>
          <w:sz w:val="24"/>
          <w:szCs w:val="24"/>
          <w:rtl w:val="0"/>
        </w:rPr>
        <w:t xml:space="preserve"> </w:t>
      </w:r>
      <w:r w:rsidDel="00000000" w:rsidR="00000000" w:rsidRPr="00000000">
        <w:rPr>
          <w:rFonts w:ascii="Palatino" w:cs="Palatino" w:eastAsia="Palatino" w:hAnsi="Palatino"/>
          <w:sz w:val="24"/>
          <w:szCs w:val="24"/>
          <w:highlight w:val="white"/>
          <w:rtl w:val="0"/>
        </w:rPr>
        <w:t xml:space="preserve">each California community college district must “</w:t>
      </w:r>
      <w:r w:rsidDel="00000000" w:rsidR="00000000" w:rsidRPr="00000000">
        <w:rPr>
          <w:rFonts w:ascii="Palatino" w:cs="Palatino" w:eastAsia="Palatino" w:hAnsi="Palatino"/>
          <w:i w:val="1"/>
          <w:sz w:val="24"/>
          <w:szCs w:val="24"/>
          <w:rtl w:val="0"/>
        </w:rPr>
        <w:t xml:space="preserve">establish procedures that are consistent with minimum standards established by the Board of Governors to ensure… students the opportunity to express their opinions at the campus level, to ensure that these opinions are given every reasonable consideration, to ensure the right to participate effectively in district and college governance</w:t>
      </w:r>
      <w:r w:rsidDel="00000000" w:rsidR="00000000" w:rsidRPr="00000000">
        <w:rPr>
          <w:rFonts w:ascii="Palatino" w:cs="Palatino" w:eastAsia="Palatino" w:hAnsi="Palatino"/>
          <w:sz w:val="24"/>
          <w:szCs w:val="24"/>
          <w:highlight w:val="white"/>
          <w:rtl w:val="0"/>
        </w:rPr>
        <w:t xml:space="preserve">”.</w:t>
      </w:r>
      <w:r w:rsidDel="00000000" w:rsidR="00000000" w:rsidRPr="00000000">
        <w:rPr>
          <w:rtl w:val="0"/>
        </w:rPr>
      </w:r>
    </w:p>
    <w:p w:rsidR="00000000" w:rsidDel="00000000" w:rsidP="00000000" w:rsidRDefault="00000000" w:rsidRPr="00000000" w14:paraId="0000000E">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F">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Thank you and we look forward to hearing back from you.</w:t>
      </w:r>
    </w:p>
    <w:p w:rsidR="00000000" w:rsidDel="00000000" w:rsidP="00000000" w:rsidRDefault="00000000" w:rsidRPr="00000000" w14:paraId="00000010">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1">
      <w:pPr>
        <w:widowControl w:val="0"/>
        <w:ind w:left="5.279998779296875" w:firstLine="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2">
      <w:pPr>
        <w:widowControl w:val="0"/>
        <w:ind w:left="12.960052490234375" w:right="75.386962890625" w:hanging="0.959930419921875"/>
        <w:rPr>
          <w:rFonts w:ascii="Proxima Nova" w:cs="Proxima Nova" w:eastAsia="Proxima Nova" w:hAnsi="Proxima Nova"/>
          <w:color w:val="1155cc"/>
          <w:sz w:val="24"/>
          <w:szCs w:val="24"/>
        </w:rPr>
      </w:pPr>
      <w:r w:rsidDel="00000000" w:rsidR="00000000" w:rsidRPr="00000000">
        <w:rPr>
          <w:rFonts w:ascii="Proxima Nova" w:cs="Proxima Nova" w:eastAsia="Proxima Nova" w:hAnsi="Proxima Nova"/>
          <w:sz w:val="24"/>
          <w:szCs w:val="24"/>
          <w:rtl w:val="0"/>
        </w:rPr>
        <w:t xml:space="preserve">Citation 1: </w:t>
      </w:r>
      <w:r w:rsidDel="00000000" w:rsidR="00000000" w:rsidRPr="00000000">
        <w:rPr>
          <w:rFonts w:ascii="Proxima Nova" w:cs="Proxima Nova" w:eastAsia="Proxima Nova" w:hAnsi="Proxima Nova"/>
          <w:sz w:val="24"/>
          <w:szCs w:val="24"/>
          <w:vertAlign w:val="superscript"/>
          <w:rtl w:val="0"/>
        </w:rPr>
        <w:t xml:space="preserve"> </w:t>
      </w:r>
      <w:hyperlink r:id="rId8">
        <w:r w:rsidDel="00000000" w:rsidR="00000000" w:rsidRPr="00000000">
          <w:rPr>
            <w:rFonts w:ascii="Proxima Nova" w:cs="Proxima Nova" w:eastAsia="Proxima Nova" w:hAnsi="Proxima Nova"/>
            <w:color w:val="1155cc"/>
            <w:sz w:val="24"/>
            <w:szCs w:val="24"/>
            <w:u w:val="single"/>
            <w:rtl w:val="0"/>
          </w:rPr>
          <w:t xml:space="preserve">https://www.cccco.edu/-/media/CCCCO-Website/Reports/CCCCO_DEI_Report.pdf</w:t>
        </w:r>
      </w:hyperlink>
      <w:r w:rsidDel="00000000" w:rsidR="00000000" w:rsidRPr="00000000">
        <w:rPr>
          <w:rtl w:val="0"/>
        </w:rPr>
      </w:r>
    </w:p>
    <w:p w:rsidR="00000000" w:rsidDel="00000000" w:rsidP="00000000" w:rsidRDefault="00000000" w:rsidRPr="00000000" w14:paraId="00000013">
      <w:pPr>
        <w:widowControl w:val="0"/>
        <w:ind w:left="12.960052490234375" w:right="75.386962890625" w:hanging="0.959930419921875"/>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Citation 2: </w:t>
      </w:r>
      <w:hyperlink r:id="rId9">
        <w:r w:rsidDel="00000000" w:rsidR="00000000" w:rsidRPr="00000000">
          <w:rPr>
            <w:rFonts w:ascii="Proxima Nova" w:cs="Proxima Nova" w:eastAsia="Proxima Nova" w:hAnsi="Proxima Nova"/>
            <w:color w:val="1155cc"/>
            <w:sz w:val="24"/>
            <w:szCs w:val="24"/>
            <w:u w:val="single"/>
            <w:rtl w:val="0"/>
          </w:rPr>
          <w:t xml:space="preserve">https://datamart.cccco.edu/Faculty-Staff/Staff_Demo.aspx</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4">
      <w:pPr>
        <w:widowControl w:val="0"/>
        <w:spacing w:before="6.688385009765625" w:lineRule="auto"/>
        <w:ind w:left="9.120025634765625"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Citation 3: </w:t>
      </w:r>
      <w:hyperlink r:id="rId10">
        <w:r w:rsidDel="00000000" w:rsidR="00000000" w:rsidRPr="00000000">
          <w:rPr>
            <w:rFonts w:ascii="Proxima Nova" w:cs="Proxima Nova" w:eastAsia="Proxima Nova" w:hAnsi="Proxima Nova"/>
            <w:color w:val="1155cc"/>
            <w:sz w:val="24"/>
            <w:szCs w:val="24"/>
            <w:u w:val="single"/>
            <w:rtl w:val="0"/>
          </w:rPr>
          <w:t xml:space="preserve">https://datamart.cccco.edu/Students/Student_Term_Annual_Count.aspx</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5">
      <w:pPr>
        <w:widowControl w:val="0"/>
        <w:ind w:left="5.279998779296875" w:firstLine="0"/>
        <w:rPr>
          <w:rFonts w:ascii="Proxima Nova" w:cs="Proxima Nova" w:eastAsia="Proxima Nova" w:hAnsi="Proxima Nova"/>
          <w:color w:val="1155cc"/>
          <w:sz w:val="24"/>
          <w:szCs w:val="24"/>
        </w:rPr>
      </w:pPr>
      <w:r w:rsidDel="00000000" w:rsidR="00000000" w:rsidRPr="00000000">
        <w:rPr>
          <w:rFonts w:ascii="Proxima Nova" w:cs="Proxima Nova" w:eastAsia="Proxima Nova" w:hAnsi="Proxima Nova"/>
          <w:sz w:val="24"/>
          <w:szCs w:val="24"/>
          <w:rtl w:val="0"/>
        </w:rPr>
        <w:t xml:space="preserve">Citation 4: </w:t>
      </w:r>
      <w:r w:rsidDel="00000000" w:rsidR="00000000" w:rsidRPr="00000000">
        <w:rPr>
          <w:rFonts w:ascii="Proxima Nova" w:cs="Proxima Nova" w:eastAsia="Proxima Nova" w:hAnsi="Proxima Nova"/>
          <w:sz w:val="24"/>
          <w:szCs w:val="24"/>
          <w:vertAlign w:val="superscript"/>
          <w:rtl w:val="0"/>
        </w:rPr>
        <w:t xml:space="preserve"> </w:t>
      </w:r>
      <w:hyperlink r:id="rId11">
        <w:r w:rsidDel="00000000" w:rsidR="00000000" w:rsidRPr="00000000">
          <w:rPr>
            <w:rFonts w:ascii="Proxima Nova" w:cs="Proxima Nova" w:eastAsia="Proxima Nova" w:hAnsi="Proxima Nova"/>
            <w:color w:val="1155cc"/>
            <w:sz w:val="24"/>
            <w:szCs w:val="24"/>
            <w:u w:val="single"/>
            <w:rtl w:val="0"/>
          </w:rPr>
          <w:t xml:space="preserve">https://bit.ly/38IOnZ5</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color w:val="1155cc"/>
          <w:sz w:val="24"/>
          <w:szCs w:val="24"/>
          <w:rtl w:val="0"/>
        </w:rPr>
        <w:t xml:space="preserve"> </w:t>
      </w:r>
    </w:p>
    <w:p w:rsidR="00000000" w:rsidDel="00000000" w:rsidP="00000000" w:rsidRDefault="00000000" w:rsidRPr="00000000" w14:paraId="00000016">
      <w:pPr>
        <w:widowControl w:val="0"/>
        <w:spacing w:before="6.658477783203125" w:lineRule="auto"/>
        <w:ind w:left="9.480133056640625"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Citation 5: </w:t>
      </w:r>
      <w:r w:rsidDel="00000000" w:rsidR="00000000" w:rsidRPr="00000000">
        <w:rPr>
          <w:rFonts w:ascii="Proxima Nova" w:cs="Proxima Nova" w:eastAsia="Proxima Nova" w:hAnsi="Proxima Nova"/>
          <w:sz w:val="24"/>
          <w:szCs w:val="24"/>
          <w:vertAlign w:val="superscript"/>
          <w:rtl w:val="0"/>
        </w:rPr>
        <w:t xml:space="preserve"> </w:t>
      </w:r>
      <w:r w:rsidDel="00000000" w:rsidR="00000000" w:rsidRPr="00000000">
        <w:rPr>
          <w:rFonts w:ascii="Proxima Nova" w:cs="Proxima Nova" w:eastAsia="Proxima Nova" w:hAnsi="Proxima Nova"/>
          <w:sz w:val="24"/>
          <w:szCs w:val="24"/>
          <w:rtl w:val="0"/>
        </w:rPr>
        <w:t xml:space="preserve">Title 3, Cal. Education Code § 70902 </w:t>
      </w:r>
      <w:hyperlink r:id="rId12">
        <w:r w:rsidDel="00000000" w:rsidR="00000000" w:rsidRPr="00000000">
          <w:rPr>
            <w:rFonts w:ascii="Proxima Nova" w:cs="Proxima Nova" w:eastAsia="Proxima Nova" w:hAnsi="Proxima Nova"/>
            <w:color w:val="1155cc"/>
            <w:sz w:val="24"/>
            <w:szCs w:val="24"/>
            <w:u w:val="single"/>
            <w:rtl w:val="0"/>
          </w:rPr>
          <w:t xml:space="preserve">https://leginfo.legislature.ca.gov/faces/codes_displaySection.xhtml?sectionNum=70902.&amp;lawCode=EDC</w:t>
        </w:r>
      </w:hyperlink>
      <w:r w:rsidDel="00000000" w:rsidR="00000000" w:rsidRPr="00000000">
        <w:rPr>
          <w:rtl w:val="0"/>
        </w:rPr>
      </w:r>
    </w:p>
    <w:p w:rsidR="00000000" w:rsidDel="00000000" w:rsidP="00000000" w:rsidRDefault="00000000" w:rsidRPr="00000000" w14:paraId="00000017">
      <w:pPr>
        <w:widowControl w:val="0"/>
        <w:ind w:left="8.280029296875" w:firstLine="0"/>
        <w:rPr/>
      </w:pPr>
      <w:r w:rsidDel="00000000" w:rsidR="00000000" w:rsidRPr="00000000">
        <w:rPr>
          <w:rFonts w:ascii="Proxima Nova" w:cs="Proxima Nova" w:eastAsia="Proxima Nova" w:hAnsi="Proxima Nova"/>
          <w:sz w:val="24"/>
          <w:szCs w:val="24"/>
          <w:rtl w:val="0"/>
        </w:rPr>
        <w:t xml:space="preserve">Citation 6: </w:t>
      </w:r>
      <w:r w:rsidDel="00000000" w:rsidR="00000000" w:rsidRPr="00000000">
        <w:rPr>
          <w:rFonts w:ascii="Proxima Nova" w:cs="Proxima Nova" w:eastAsia="Proxima Nova" w:hAnsi="Proxima Nova"/>
          <w:sz w:val="24"/>
          <w:szCs w:val="24"/>
          <w:vertAlign w:val="superscript"/>
          <w:rtl w:val="0"/>
        </w:rPr>
        <w:t xml:space="preserve"> </w:t>
      </w:r>
      <w:r w:rsidDel="00000000" w:rsidR="00000000" w:rsidRPr="00000000">
        <w:rPr>
          <w:rFonts w:ascii="Proxima Nova" w:cs="Proxima Nova" w:eastAsia="Proxima Nova" w:hAnsi="Proxima Nova"/>
          <w:sz w:val="24"/>
          <w:szCs w:val="24"/>
          <w:rtl w:val="0"/>
        </w:rPr>
        <w:t xml:space="preserve">Title 3, Cal. Education Code § 76060.5 </w:t>
      </w:r>
      <w:hyperlink r:id="rId13">
        <w:r w:rsidDel="00000000" w:rsidR="00000000" w:rsidRPr="00000000">
          <w:rPr>
            <w:rFonts w:ascii="Proxima Nova" w:cs="Proxima Nova" w:eastAsia="Proxima Nova" w:hAnsi="Proxima Nova"/>
            <w:color w:val="1155cc"/>
            <w:sz w:val="24"/>
            <w:szCs w:val="24"/>
            <w:u w:val="single"/>
            <w:rtl w:val="0"/>
          </w:rPr>
          <w:t xml:space="preserve">https://leginfo.legislature.ca.gov/faces/codes_displaySection.xhtml?lawCode=EDC&amp;sectionNum=76060.5.</w:t>
        </w:r>
      </w:hyperlink>
      <w:r w:rsidDel="00000000" w:rsidR="00000000" w:rsidRPr="00000000">
        <w:rPr>
          <w:rtl w:val="0"/>
        </w:rPr>
      </w:r>
    </w:p>
    <w:p w:rsidR="00000000" w:rsidDel="00000000" w:rsidP="00000000" w:rsidRDefault="00000000" w:rsidRPr="00000000" w14:paraId="00000018">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8IOnZ5" TargetMode="External"/><Relationship Id="rId10" Type="http://schemas.openxmlformats.org/officeDocument/2006/relationships/hyperlink" Target="https://datamart.cccco.edu/Students/Student_Term_Annual_Count.aspx" TargetMode="External"/><Relationship Id="rId13" Type="http://schemas.openxmlformats.org/officeDocument/2006/relationships/hyperlink" Target="https://leginfo.legislature.ca.gov/faces/codes_displaySection.xhtml?lawCode=EDC&amp;sectionNum=76060.5." TargetMode="External"/><Relationship Id="rId12" Type="http://schemas.openxmlformats.org/officeDocument/2006/relationships/hyperlink" Target="https://leginfo.legislature.ca.gov/faces/codes_displaySection.xhtml?sectionNum=70902.&amp;lawCode=ED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mart.cccco.edu/Faculty-Staff/Staff_Demo.aspx" TargetMode="External"/><Relationship Id="rId5" Type="http://schemas.openxmlformats.org/officeDocument/2006/relationships/styles" Target="styles.xml"/><Relationship Id="rId6" Type="http://schemas.openxmlformats.org/officeDocument/2006/relationships/hyperlink" Target="https://docs.google.com/document/d/1H1RvDzTQ1lwRLdp09bhpop0LoBoE_rww_2Yn_xXJTHU/edit?usp=sharing" TargetMode="External"/><Relationship Id="rId7" Type="http://schemas.openxmlformats.org/officeDocument/2006/relationships/hyperlink" Target="https://docs.google.com/document/d/1H1RvDzTQ1lwRLdp09bhpop0LoBoE_rww_2Yn_xXJTHU/edit?usp=sharing" TargetMode="External"/><Relationship Id="rId8" Type="http://schemas.openxmlformats.org/officeDocument/2006/relationships/hyperlink" Target="https://www.cccco.edu/-/media/CCCCO-Website/Reports/CCCCO_DEI_Repo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