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Dear President [NAME] and V.P. of Student Services [NAME],</w:t>
      </w:r>
    </w:p>
    <w:p w:rsidR="00000000" w:rsidDel="00000000" w:rsidP="00000000" w:rsidRDefault="00000000" w:rsidRPr="00000000" w14:paraId="00000002">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3">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The Student Senate for California Community Colleges (SSCCC) is a 501(c)(3) nonprofit student organization recognized by the Board of Governors of the California Community Colleges. The mission of the SSCCC is to pursue policies that will improve student access, promote student success, engage and empower local student leaders, and enrich the collegiate experience for all California community college students. The embodiment of the Student Senate for California Community Colleges is the Delegate Assembly, which consists of one delegate from each of the 116  local student body associations recognized pursuant to California Education Code §76060. </w:t>
      </w:r>
    </w:p>
    <w:p w:rsidR="00000000" w:rsidDel="00000000" w:rsidP="00000000" w:rsidRDefault="00000000" w:rsidRPr="00000000" w14:paraId="00000004">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5">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In Spring 2021, the SSCCC delegates passed </w:t>
      </w:r>
      <w:hyperlink r:id="rId6">
        <w:r w:rsidDel="00000000" w:rsidR="00000000" w:rsidRPr="00000000">
          <w:rPr>
            <w:rFonts w:ascii="Palatino" w:cs="Palatino" w:eastAsia="Palatino" w:hAnsi="Palatino"/>
            <w:color w:val="1155cc"/>
            <w:sz w:val="24"/>
            <w:szCs w:val="24"/>
            <w:u w:val="single"/>
            <w:rtl w:val="0"/>
          </w:rPr>
          <w:t xml:space="preserve">Resoluti</w:t>
        </w:r>
      </w:hyperlink>
      <w:hyperlink r:id="rId7">
        <w:r w:rsidDel="00000000" w:rsidR="00000000" w:rsidRPr="00000000">
          <w:rPr>
            <w:rFonts w:ascii="Palatino" w:cs="Palatino" w:eastAsia="Palatino" w:hAnsi="Palatino"/>
            <w:color w:val="1155cc"/>
            <w:sz w:val="24"/>
            <w:szCs w:val="24"/>
            <w:u w:val="single"/>
            <w:rtl w:val="0"/>
          </w:rPr>
          <w:t xml:space="preserve">on 01.02 Affordable Low Income Housing</w:t>
        </w:r>
      </w:hyperlink>
      <w:r w:rsidDel="00000000" w:rsidR="00000000" w:rsidRPr="00000000">
        <w:rPr>
          <w:rFonts w:ascii="Palatino" w:cs="Palatino" w:eastAsia="Palatino" w:hAnsi="Palatino"/>
          <w:sz w:val="24"/>
          <w:szCs w:val="24"/>
          <w:rtl w:val="0"/>
        </w:rPr>
        <w:t xml:space="preserve">. This resolution called for the Student Senate for California Community Colleges to partner with local organizations to provide affordable on/off campus housing options to low income students. </w:t>
      </w:r>
    </w:p>
    <w:p w:rsidR="00000000" w:rsidDel="00000000" w:rsidP="00000000" w:rsidRDefault="00000000" w:rsidRPr="00000000" w14:paraId="00000006">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7">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The purpose of this letter is to advocate for students with low incomes to be able to afford housing on/off campus. </w:t>
      </w:r>
    </w:p>
    <w:p w:rsidR="00000000" w:rsidDel="00000000" w:rsidP="00000000" w:rsidRDefault="00000000" w:rsidRPr="00000000" w14:paraId="00000008">
      <w:pPr>
        <w:rPr>
          <w:rFonts w:ascii="Palatino" w:cs="Palatino" w:eastAsia="Palatino" w:hAnsi="Palatino"/>
          <w:sz w:val="24"/>
          <w:szCs w:val="24"/>
          <w:highlight w:val="yellow"/>
        </w:rPr>
      </w:pPr>
      <w:r w:rsidDel="00000000" w:rsidR="00000000" w:rsidRPr="00000000">
        <w:rPr>
          <w:rtl w:val="0"/>
        </w:rPr>
      </w:r>
    </w:p>
    <w:p w:rsidR="00000000" w:rsidDel="00000000" w:rsidP="00000000" w:rsidRDefault="00000000" w:rsidRPr="00000000" w14:paraId="00000009">
      <w:pPr>
        <w:rPr>
          <w:rFonts w:ascii="Palatino" w:cs="Palatino" w:eastAsia="Palatino" w:hAnsi="Palatino"/>
          <w:sz w:val="24"/>
          <w:szCs w:val="24"/>
        </w:rPr>
      </w:pPr>
      <w:r w:rsidDel="00000000" w:rsidR="00000000" w:rsidRPr="00000000">
        <w:rPr>
          <w:rFonts w:ascii="Palatino" w:cs="Palatino" w:eastAsia="Palatino" w:hAnsi="Palatino"/>
          <w:b w:val="1"/>
          <w:sz w:val="24"/>
          <w:szCs w:val="24"/>
          <w:rtl w:val="0"/>
        </w:rPr>
        <w:t xml:space="preserve">Why our students should have affordable housing:</w:t>
      </w:r>
      <w:r w:rsidDel="00000000" w:rsidR="00000000" w:rsidRPr="00000000">
        <w:rPr>
          <w:rtl w:val="0"/>
        </w:rPr>
      </w:r>
    </w:p>
    <w:p w:rsidR="00000000" w:rsidDel="00000000" w:rsidP="00000000" w:rsidRDefault="00000000" w:rsidRPr="00000000" w14:paraId="0000000A">
      <w:pPr>
        <w:numPr>
          <w:ilvl w:val="0"/>
          <w:numId w:val="1"/>
        </w:numPr>
        <w:spacing w:after="0" w:afterAutospacing="0"/>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According to California Community Colleges #RealCollege Survey, “60% of respondents were housing insecure” [1] prior to the pandemic, which has only been exacerbated according to the California Community Colleges COVID-19 Student Impact Survey with 53% of students reporting income decreases [2]</w:t>
      </w:r>
      <w:r w:rsidDel="00000000" w:rsidR="00000000" w:rsidRPr="00000000">
        <w:rPr>
          <w:rFonts w:ascii="Palatino" w:cs="Palatino" w:eastAsia="Palatino" w:hAnsi="Palatino"/>
          <w:sz w:val="24"/>
          <w:szCs w:val="24"/>
          <w:vertAlign w:val="superscript"/>
          <w:rtl w:val="0"/>
        </w:rPr>
        <w:t xml:space="preserve"> </w:t>
      </w:r>
      <w:r w:rsidDel="00000000" w:rsidR="00000000" w:rsidRPr="00000000">
        <w:rPr>
          <w:rFonts w:ascii="Palatino" w:cs="Palatino" w:eastAsia="Palatino" w:hAnsi="Palatino"/>
          <w:sz w:val="24"/>
          <w:szCs w:val="24"/>
          <w:rtl w:val="0"/>
        </w:rPr>
        <w:t xml:space="preserve"> making it more difficult to afford housing</w:t>
      </w:r>
    </w:p>
    <w:p w:rsidR="00000000" w:rsidDel="00000000" w:rsidP="00000000" w:rsidRDefault="00000000" w:rsidRPr="00000000" w14:paraId="0000000B">
      <w:pPr>
        <w:widowControl w:val="0"/>
        <w:numPr>
          <w:ilvl w:val="0"/>
          <w:numId w:val="1"/>
        </w:numPr>
        <w:spacing w:before="0" w:beforeAutospacing="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Only 6% of students who experience homelessness receive housing assistance  according to a study conducted by Cerritos College [3]</w:t>
      </w:r>
    </w:p>
    <w:p w:rsidR="00000000" w:rsidDel="00000000" w:rsidP="00000000" w:rsidRDefault="00000000" w:rsidRPr="00000000" w14:paraId="0000000C">
      <w:pPr>
        <w:numPr>
          <w:ilvl w:val="0"/>
          <w:numId w:val="1"/>
        </w:numPr>
        <w:spacing w:after="0" w:afterAutospacing="0"/>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In a report by the Research and Planning Group “Students Speak Their Truth about Transfer: What They Need to Get Through the Gate”, the inability to afford stable housing and other living costs slows the time to transfer due to needing to work additional hours and taking fewer units [4]</w:t>
      </w:r>
    </w:p>
    <w:p w:rsidR="00000000" w:rsidDel="00000000" w:rsidP="00000000" w:rsidRDefault="00000000" w:rsidRPr="00000000" w14:paraId="0000000D">
      <w:pPr>
        <w:widowControl w:val="0"/>
        <w:numPr>
          <w:ilvl w:val="0"/>
          <w:numId w:val="1"/>
        </w:numPr>
        <w:spacing w:before="0" w:beforeAutospacing="0" w:lineRule="auto"/>
        <w:ind w:left="720" w:right="63.83056640625"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According to the California Community Colleges Chancellor’s Office, “</w:t>
      </w:r>
      <w:r w:rsidDel="00000000" w:rsidR="00000000" w:rsidRPr="00000000">
        <w:rPr>
          <w:rFonts w:ascii="Palatino" w:cs="Palatino" w:eastAsia="Palatino" w:hAnsi="Palatino"/>
          <w:sz w:val="24"/>
          <w:szCs w:val="24"/>
          <w:highlight w:val="white"/>
          <w:rtl w:val="0"/>
        </w:rPr>
        <w:t xml:space="preserve">Studies show that students who live on campus not only have a higher GPA, but they are more likely to graduate.” [5]</w:t>
      </w:r>
      <w:r w:rsidDel="00000000" w:rsidR="00000000" w:rsidRPr="00000000">
        <w:rPr>
          <w:rFonts w:ascii="Palatino" w:cs="Palatino" w:eastAsia="Palatino" w:hAnsi="Palatino"/>
          <w:sz w:val="24"/>
          <w:szCs w:val="24"/>
          <w:rtl w:val="0"/>
        </w:rPr>
        <w:t xml:space="preserve">, which increases student success rates and closes equity gaps </w:t>
      </w:r>
    </w:p>
    <w:p w:rsidR="00000000" w:rsidDel="00000000" w:rsidP="00000000" w:rsidRDefault="00000000" w:rsidRPr="00000000" w14:paraId="0000000E">
      <w:pPr>
        <w:widowControl w:val="0"/>
        <w:spacing w:before="0" w:lineRule="auto"/>
        <w:ind w:left="0" w:right="63.83056640625" w:firstLine="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F">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Thank you and we look forward to hearing back from you.</w:t>
      </w:r>
    </w:p>
    <w:p w:rsidR="00000000" w:rsidDel="00000000" w:rsidP="00000000" w:rsidRDefault="00000000" w:rsidRPr="00000000" w14:paraId="00000010">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1">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Citation 1: </w:t>
      </w:r>
      <w:r w:rsidDel="00000000" w:rsidR="00000000" w:rsidRPr="00000000">
        <w:rPr>
          <w:rFonts w:ascii="Palatino" w:cs="Palatino" w:eastAsia="Palatino" w:hAnsi="Palatino"/>
          <w:sz w:val="24"/>
          <w:szCs w:val="24"/>
          <w:vertAlign w:val="superscript"/>
          <w:rtl w:val="0"/>
        </w:rPr>
        <w:t xml:space="preserve"> </w:t>
      </w:r>
      <w:r w:rsidDel="00000000" w:rsidR="00000000" w:rsidRPr="00000000">
        <w:rPr>
          <w:rFonts w:ascii="Palatino" w:cs="Palatino" w:eastAsia="Palatino" w:hAnsi="Palatino"/>
          <w:sz w:val="24"/>
          <w:szCs w:val="24"/>
          <w:rtl w:val="0"/>
        </w:rPr>
        <w:t xml:space="preserve">Sara Goldrick-Rab et al., “California Community Colleges #RealCollege Survey,” </w:t>
      </w:r>
      <w:r w:rsidDel="00000000" w:rsidR="00000000" w:rsidRPr="00000000">
        <w:rPr>
          <w:rFonts w:ascii="Palatino" w:cs="Palatino" w:eastAsia="Palatino" w:hAnsi="Palatino"/>
          <w:i w:val="1"/>
          <w:sz w:val="24"/>
          <w:szCs w:val="24"/>
          <w:rtl w:val="0"/>
        </w:rPr>
        <w:t xml:space="preserve">The Hope Center</w:t>
      </w:r>
      <w:r w:rsidDel="00000000" w:rsidR="00000000" w:rsidRPr="00000000">
        <w:rPr>
          <w:rFonts w:ascii="Palatino" w:cs="Palatino" w:eastAsia="Palatino" w:hAnsi="Palatino"/>
          <w:sz w:val="24"/>
          <w:szCs w:val="24"/>
          <w:rtl w:val="0"/>
        </w:rPr>
        <w:t xml:space="preserve">, </w:t>
      </w:r>
      <w:hyperlink r:id="rId8">
        <w:r w:rsidDel="00000000" w:rsidR="00000000" w:rsidRPr="00000000">
          <w:rPr>
            <w:rFonts w:ascii="Palatino" w:cs="Palatino" w:eastAsia="Palatino" w:hAnsi="Palatino"/>
            <w:color w:val="1155cc"/>
            <w:sz w:val="24"/>
            <w:szCs w:val="24"/>
            <w:u w:val="single"/>
            <w:rtl w:val="0"/>
          </w:rPr>
          <w:t xml:space="preserve">https://hope4college.com/wp-content/uploads/2019/03/RealCollege-CCCCO-Report.pdf</w:t>
        </w:r>
      </w:hyperlink>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14:paraId="00000012">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3">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Citation 2: “California Community Colleges COVID-19 Survey Report,” </w:t>
      </w:r>
      <w:r w:rsidDel="00000000" w:rsidR="00000000" w:rsidRPr="00000000">
        <w:rPr>
          <w:rFonts w:ascii="Palatino" w:cs="Palatino" w:eastAsia="Palatino" w:hAnsi="Palatino"/>
          <w:i w:val="1"/>
          <w:sz w:val="24"/>
          <w:szCs w:val="24"/>
          <w:rtl w:val="0"/>
        </w:rPr>
        <w:t xml:space="preserve">California Community Colleges Chancellor’s Office</w:t>
      </w:r>
      <w:r w:rsidDel="00000000" w:rsidR="00000000" w:rsidRPr="00000000">
        <w:rPr>
          <w:rFonts w:ascii="Palatino" w:cs="Palatino" w:eastAsia="Palatino" w:hAnsi="Palatino"/>
          <w:sz w:val="24"/>
          <w:szCs w:val="24"/>
          <w:rtl w:val="0"/>
        </w:rPr>
        <w:t xml:space="preserve"> </w:t>
      </w:r>
      <w:hyperlink r:id="rId9">
        <w:r w:rsidDel="00000000" w:rsidR="00000000" w:rsidRPr="00000000">
          <w:rPr>
            <w:rFonts w:ascii="Palatino" w:cs="Palatino" w:eastAsia="Palatino" w:hAnsi="Palatino"/>
            <w:color w:val="1155cc"/>
            <w:sz w:val="24"/>
            <w:szCs w:val="24"/>
            <w:u w:val="single"/>
            <w:rtl w:val="0"/>
          </w:rPr>
          <w:t xml:space="preserve">https://www.cccco.edu/-/media/CCCCO-Website/Files/Communications/reports/student-impact-survey-v2</w:t>
        </w:r>
      </w:hyperlink>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14:paraId="00000014">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5">
      <w:pPr>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Citation 3: </w:t>
      </w:r>
      <w:r w:rsidDel="00000000" w:rsidR="00000000" w:rsidRPr="00000000">
        <w:rPr>
          <w:rFonts w:ascii="Palatino" w:cs="Palatino" w:eastAsia="Palatino" w:hAnsi="Palatino"/>
          <w:sz w:val="24"/>
          <w:szCs w:val="24"/>
          <w:highlight w:val="white"/>
          <w:rtl w:val="0"/>
        </w:rPr>
        <w:t xml:space="preserve">“The Village at Cerritos College ” </w:t>
      </w:r>
      <w:r w:rsidDel="00000000" w:rsidR="00000000" w:rsidRPr="00000000">
        <w:rPr>
          <w:rFonts w:ascii="Palatino" w:cs="Palatino" w:eastAsia="Palatino" w:hAnsi="Palatino"/>
          <w:i w:val="1"/>
          <w:sz w:val="24"/>
          <w:szCs w:val="24"/>
          <w:rtl w:val="0"/>
        </w:rPr>
        <w:t xml:space="preserve">Cerritos College,</w:t>
      </w:r>
      <w:r w:rsidDel="00000000" w:rsidR="00000000" w:rsidRPr="00000000">
        <w:rPr>
          <w:rFonts w:ascii="Palatino" w:cs="Palatino" w:eastAsia="Palatino" w:hAnsi="Palatino"/>
          <w:sz w:val="24"/>
          <w:szCs w:val="24"/>
          <w:rtl w:val="0"/>
        </w:rPr>
        <w:t xml:space="preserve"> </w:t>
      </w:r>
      <w:hyperlink r:id="rId10">
        <w:r w:rsidDel="00000000" w:rsidR="00000000" w:rsidRPr="00000000">
          <w:rPr>
            <w:rFonts w:ascii="Palatino" w:cs="Palatino" w:eastAsia="Palatino" w:hAnsi="Palatino"/>
            <w:color w:val="1155cc"/>
            <w:sz w:val="24"/>
            <w:szCs w:val="24"/>
            <w:u w:val="single"/>
            <w:rtl w:val="0"/>
          </w:rPr>
          <w:t xml:space="preserve">https://www.cerritos.edu/thevillage/_includes/docs/The_Village_Slides_061120_ua.pdf</w:t>
        </w:r>
      </w:hyperlink>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14:paraId="00000016">
      <w:pPr>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7">
      <w:pPr>
        <w:rPr>
          <w:rFonts w:ascii="Palatino" w:cs="Palatino" w:eastAsia="Palatino" w:hAnsi="Palatino"/>
          <w:sz w:val="24"/>
          <w:szCs w:val="24"/>
          <w:highlight w:val="white"/>
        </w:rPr>
      </w:pPr>
      <w:r w:rsidDel="00000000" w:rsidR="00000000" w:rsidRPr="00000000">
        <w:rPr>
          <w:rFonts w:ascii="Palatino" w:cs="Palatino" w:eastAsia="Palatino" w:hAnsi="Palatino"/>
          <w:sz w:val="24"/>
          <w:szCs w:val="24"/>
          <w:highlight w:val="white"/>
          <w:rtl w:val="0"/>
        </w:rPr>
        <w:t xml:space="preserve">Citation 4: “Students Speak Their Truth about Transfer: What They Need to Get Through the Gate”, </w:t>
      </w:r>
      <w:r w:rsidDel="00000000" w:rsidR="00000000" w:rsidRPr="00000000">
        <w:rPr>
          <w:rFonts w:ascii="Palatino" w:cs="Palatino" w:eastAsia="Palatino" w:hAnsi="Palatino"/>
          <w:i w:val="1"/>
          <w:sz w:val="24"/>
          <w:szCs w:val="24"/>
          <w:highlight w:val="white"/>
          <w:rtl w:val="0"/>
        </w:rPr>
        <w:t xml:space="preserve">The RP Group,</w:t>
      </w:r>
      <w:r w:rsidDel="00000000" w:rsidR="00000000" w:rsidRPr="00000000">
        <w:rPr>
          <w:rFonts w:ascii="Palatino" w:cs="Palatino" w:eastAsia="Palatino" w:hAnsi="Palatino"/>
          <w:sz w:val="24"/>
          <w:szCs w:val="24"/>
          <w:highlight w:val="white"/>
          <w:rtl w:val="0"/>
        </w:rPr>
        <w:t xml:space="preserve"> </w:t>
      </w:r>
      <w:hyperlink r:id="rId11">
        <w:r w:rsidDel="00000000" w:rsidR="00000000" w:rsidRPr="00000000">
          <w:rPr>
            <w:rFonts w:ascii="Palatino" w:cs="Palatino" w:eastAsia="Palatino" w:hAnsi="Palatino"/>
            <w:color w:val="1155cc"/>
            <w:sz w:val="24"/>
            <w:szCs w:val="24"/>
            <w:highlight w:val="white"/>
            <w:u w:val="single"/>
            <w:rtl w:val="0"/>
          </w:rPr>
          <w:t xml:space="preserve">https://rpgroup.org/Portals/0/Documents/Projects/ThroughtheGate/RPGroup_TheTruthAboutTransfer_TTGPhase3_R3[79].pdf?ver=2020-05-18-171449-773</w:t>
        </w:r>
      </w:hyperlink>
      <w:r w:rsidDel="00000000" w:rsidR="00000000" w:rsidRPr="00000000">
        <w:rPr>
          <w:rFonts w:ascii="Palatino" w:cs="Palatino" w:eastAsia="Palatino" w:hAnsi="Palatino"/>
          <w:sz w:val="24"/>
          <w:szCs w:val="24"/>
          <w:highlight w:val="white"/>
          <w:rtl w:val="0"/>
        </w:rPr>
        <w:t xml:space="preserve">. </w:t>
      </w:r>
    </w:p>
    <w:p w:rsidR="00000000" w:rsidDel="00000000" w:rsidP="00000000" w:rsidRDefault="00000000" w:rsidRPr="00000000" w14:paraId="00000018">
      <w:pPr>
        <w:rPr>
          <w:rFonts w:ascii="Palatino" w:cs="Palatino" w:eastAsia="Palatino" w:hAnsi="Palatino"/>
          <w:sz w:val="24"/>
          <w:szCs w:val="24"/>
          <w:highlight w:val="white"/>
        </w:rPr>
      </w:pPr>
      <w:r w:rsidDel="00000000" w:rsidR="00000000" w:rsidRPr="00000000">
        <w:rPr>
          <w:rtl w:val="0"/>
        </w:rPr>
      </w:r>
    </w:p>
    <w:p w:rsidR="00000000" w:rsidDel="00000000" w:rsidP="00000000" w:rsidRDefault="00000000" w:rsidRPr="00000000" w14:paraId="00000019">
      <w:pPr>
        <w:rPr>
          <w:rFonts w:ascii="Palatino" w:cs="Palatino" w:eastAsia="Palatino" w:hAnsi="Palatino"/>
          <w:sz w:val="24"/>
          <w:szCs w:val="24"/>
        </w:rPr>
      </w:pPr>
      <w:r w:rsidDel="00000000" w:rsidR="00000000" w:rsidRPr="00000000">
        <w:rPr>
          <w:rFonts w:ascii="Palatino" w:cs="Palatino" w:eastAsia="Palatino" w:hAnsi="Palatino"/>
          <w:sz w:val="24"/>
          <w:szCs w:val="24"/>
          <w:highlight w:val="white"/>
          <w:rtl w:val="0"/>
        </w:rPr>
        <w:t xml:space="preserve">Citation 5: “California Community Colleges: College Dormitories and Housing”, </w:t>
      </w:r>
      <w:r w:rsidDel="00000000" w:rsidR="00000000" w:rsidRPr="00000000">
        <w:rPr>
          <w:rFonts w:ascii="Palatino" w:cs="Palatino" w:eastAsia="Palatino" w:hAnsi="Palatino"/>
          <w:i w:val="1"/>
          <w:sz w:val="24"/>
          <w:szCs w:val="24"/>
          <w:highlight w:val="white"/>
          <w:rtl w:val="0"/>
        </w:rPr>
        <w:t xml:space="preserve">California Community Colleges Chancellor’s Office</w:t>
      </w:r>
      <w:r w:rsidDel="00000000" w:rsidR="00000000" w:rsidRPr="00000000">
        <w:rPr>
          <w:rFonts w:ascii="Palatino" w:cs="Palatino" w:eastAsia="Palatino" w:hAnsi="Palatino"/>
          <w:sz w:val="24"/>
          <w:szCs w:val="24"/>
          <w:highlight w:val="white"/>
          <w:rtl w:val="0"/>
        </w:rPr>
        <w:t xml:space="preserve">, </w:t>
      </w:r>
      <w:hyperlink r:id="rId12">
        <w:r w:rsidDel="00000000" w:rsidR="00000000" w:rsidRPr="00000000">
          <w:rPr>
            <w:rFonts w:ascii="Palatino" w:cs="Palatino" w:eastAsia="Palatino" w:hAnsi="Palatino"/>
            <w:color w:val="1155cc"/>
            <w:sz w:val="24"/>
            <w:szCs w:val="24"/>
            <w:u w:val="single"/>
            <w:rtl w:val="0"/>
          </w:rPr>
          <w:t xml:space="preserve">https://www.cccco.edu/Students/Support-Services/College-Dormitories-and-Housing</w:t>
        </w:r>
      </w:hyperlink>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pgroup.org/Portals/0/Documents/Projects/ThroughtheGate/RPGroup_TheTruthAboutTransfer_TTGPhase3_R3%5B79%5D.pdf?ver=2020-05-18-171449-773" TargetMode="External"/><Relationship Id="rId10" Type="http://schemas.openxmlformats.org/officeDocument/2006/relationships/hyperlink" Target="https://www.cerritos.edu/thevillage/_includes/docs/The_Village_Slides_061120_ua.pdf" TargetMode="External"/><Relationship Id="rId12" Type="http://schemas.openxmlformats.org/officeDocument/2006/relationships/hyperlink" Target="https://www.cccco.edu/Students/Support-Services/College-Dormitories-and-Housing" TargetMode="External"/><Relationship Id="rId9" Type="http://schemas.openxmlformats.org/officeDocument/2006/relationships/hyperlink" Target="https://www.cccco.edu/-/media/CCCCO-Website/Files/Communications/reports/student-impact-survey-v2" TargetMode="External"/><Relationship Id="rId5" Type="http://schemas.openxmlformats.org/officeDocument/2006/relationships/styles" Target="styles.xml"/><Relationship Id="rId6" Type="http://schemas.openxmlformats.org/officeDocument/2006/relationships/hyperlink" Target="https://docs.google.com/document/d/1zHJMcbtqli2irWvMXbosJ26xhuCslOjr51xl5h8byig/edit?usp=sharing" TargetMode="External"/><Relationship Id="rId7" Type="http://schemas.openxmlformats.org/officeDocument/2006/relationships/hyperlink" Target="https://docs.google.com/document/d/1zHJMcbtqli2irWvMXbosJ26xhuCslOjr51xl5h8byig/edit?usp=sharing" TargetMode="External"/><Relationship Id="rId8" Type="http://schemas.openxmlformats.org/officeDocument/2006/relationships/hyperlink" Target="https://hope4college.com/wp-content/uploads/2019/03/RealCollege-CCCCO-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