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kix.d0cs0j7kliih" w:id="0"/>
    <w:bookmarkEnd w:id="0"/>
    <w:p w:rsidR="00000000" w:rsidDel="00000000" w:rsidP="00000000" w:rsidRDefault="00000000" w:rsidRPr="00000000" w14:paraId="00000001">
      <w:pPr>
        <w:widowControl w:val="0"/>
        <w:spacing w:line="240" w:lineRule="auto"/>
        <w:ind w:left="15.39306640625" w:firstLine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S21.03.04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highlight w:val="white"/>
          <w:rtl w:val="0"/>
        </w:rPr>
        <w:t xml:space="preserve">Non-Credit Student Leader Enfranchisement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before="13.37646484375"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highlight w:val="white"/>
          <w:rtl w:val="0"/>
        </w:rPr>
        <w:t xml:space="preserve">uthors: Angelica Campos, Esther Mita Arias, Ron Gonzalez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before="13.37646484375" w:line="240" w:lineRule="auto"/>
        <w:ind w:left="5.497589111328125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highlight w:val="white"/>
          <w:rtl w:val="0"/>
        </w:rPr>
        <w:t xml:space="preserve">Sponsor: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Region III, Region IX, City College of San Francisco</w:t>
      </w:r>
    </w:p>
    <w:p w:rsidR="00000000" w:rsidDel="00000000" w:rsidP="00000000" w:rsidRDefault="00000000" w:rsidRPr="00000000" w14:paraId="00000004">
      <w:pPr>
        <w:widowControl w:val="0"/>
        <w:spacing w:before="268.37646484375" w:line="281.8336772918701" w:lineRule="auto"/>
        <w:ind w:left="11.21490478515625" w:right="4.949951171875" w:hanging="10.1153564453125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there were 306,580 non-credit full-time equivalent students enrolled in the California Community College system in the Spring of 2020 and at City College San Francisco, the amount of non-credit full-time equivalent students is 37% [1], meaning 4 of 10 students are denied the right of representation in their student government (“Office of Research and Planning”); </w:t>
      </w:r>
    </w:p>
    <w:p w:rsidR="00000000" w:rsidDel="00000000" w:rsidP="00000000" w:rsidRDefault="00000000" w:rsidRPr="00000000" w14:paraId="00000005">
      <w:pPr>
        <w:widowControl w:val="0"/>
        <w:spacing w:before="320.04638671875" w:line="277.2879981994629" w:lineRule="auto"/>
        <w:ind w:left="11.21490478515625" w:right="514.599609375" w:hanging="10.1153564453125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as evidenced in a 10-year study, 90% of non-credit students never transferred to credit courses [2], with countless others abandoning their goals of obtaining certification, highlighting an inability to meet their unique needs and the negative impact of the lack of non-credit student representation on their academic success[3]; </w:t>
      </w:r>
    </w:p>
    <w:p w:rsidR="00000000" w:rsidDel="00000000" w:rsidP="00000000" w:rsidRDefault="00000000" w:rsidRPr="00000000" w14:paraId="00000006">
      <w:pPr>
        <w:widowControl w:val="0"/>
        <w:spacing w:before="324.21142578125" w:line="286.37938499450684" w:lineRule="auto"/>
        <w:ind w:left="8.136444091796875" w:right="437.269287109375" w:hanging="7.036895751953125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the Student Senate for California Community Colleges’ approved resolution from 2016 in support of non-credit student leaders [4] but excluded them from attaining positions as student body association presidents, vice presidents, and student trustees; and</w:t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  <w:color w:val="21212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per California Code of Regulations, Title 5, 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4"/>
          <w:szCs w:val="24"/>
          <w:highlight w:val="white"/>
          <w:rtl w:val="0"/>
        </w:rPr>
        <w:t xml:space="preserve">§ 51023.7., the district or college has an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4"/>
          <w:szCs w:val="24"/>
          <w:highlight w:val="white"/>
          <w:rtl w:val="0"/>
        </w:rPr>
        <w:t xml:space="preserve">obligation to consult with students on district and college policies and procedures that have a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4"/>
          <w:szCs w:val="24"/>
          <w:highlight w:val="white"/>
          <w:rtl w:val="0"/>
        </w:rPr>
        <w:t xml:space="preserve">“significant effect on students”</w:t>
      </w:r>
      <w:r w:rsidDel="00000000" w:rsidR="00000000" w:rsidRPr="00000000">
        <w:rPr>
          <w:rFonts w:ascii="Proxima Nova" w:cs="Proxima Nova" w:eastAsia="Proxima Nova" w:hAnsi="Proxima Nova"/>
          <w:color w:val="212121"/>
          <w:highlight w:val="white"/>
          <w:rtl w:val="0"/>
        </w:rPr>
        <w:t xml:space="preserve">and should consult with non-credit students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4"/>
          <w:szCs w:val="24"/>
          <w:highlight w:val="white"/>
          <w:rtl w:val="0"/>
        </w:rPr>
        <w:t xml:space="preserve">;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4"/>
          <w:szCs w:val="24"/>
          <w:rtl w:val="0"/>
        </w:rPr>
        <w:t xml:space="preserve"> now, therefore, be it </w:t>
      </w:r>
    </w:p>
    <w:p w:rsidR="00000000" w:rsidDel="00000000" w:rsidP="00000000" w:rsidRDefault="00000000" w:rsidRPr="00000000" w14:paraId="00000009">
      <w:pPr>
        <w:widowControl w:val="0"/>
        <w:spacing w:before="322.1295166015625" w:line="277.2879981994629" w:lineRule="auto"/>
        <w:ind w:left="11.21490478515625" w:right="51.02783203125" w:firstLine="4.17816162109375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RESOLVED,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that the Student Senate for California Community Colleges advocate for an addendum to the California Education code to allow non-credit students to serve in student government positions, including president, vice president, and student trustee, and subsequently allow them to sit on its internal boards and committees; </w:t>
      </w:r>
    </w:p>
    <w:p w:rsidR="00000000" w:rsidDel="00000000" w:rsidP="00000000" w:rsidRDefault="00000000" w:rsidRPr="00000000" w14:paraId="0000000A">
      <w:pPr>
        <w:widowControl w:val="0"/>
        <w:spacing w:before="339.21142578125" w:line="279.56082344055176" w:lineRule="auto"/>
        <w:ind w:left="11.21490478515625" w:right="39.241943359375" w:firstLine="4.17816162109375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RESOLVED,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that the Student Senate for California Community Colleges create and work with colleges to implement an action plan that recognizes, empowers, and protects non-credit student leaders; and</w:t>
      </w:r>
    </w:p>
    <w:p w:rsidR="00000000" w:rsidDel="00000000" w:rsidP="00000000" w:rsidRDefault="00000000" w:rsidRPr="00000000" w14:paraId="0000000B">
      <w:pPr>
        <w:widowControl w:val="0"/>
        <w:spacing w:before="322.1295166015625" w:line="279.56082344055176" w:lineRule="auto"/>
        <w:ind w:left="8.136444091796875" w:right="45.234375" w:firstLine="7.256622314453125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RESOLVED,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that the Student Senate of California Community Colleges work with the Chancellor’s Office to ensure that California Code of Regulations, Title 5, 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4"/>
          <w:szCs w:val="24"/>
          <w:rtl w:val="0"/>
        </w:rPr>
        <w:t xml:space="preserve">§ 51023.7., 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4"/>
          <w:szCs w:val="24"/>
          <w:highlight w:val="white"/>
          <w:rtl w:val="0"/>
        </w:rPr>
        <w:t xml:space="preserve">regarding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student participation in district governance, is upheld within each college district and that college administration actively seeks inclusion of their credit and non-credit student leaders in the district decision making process.</w:t>
      </w:r>
    </w:p>
    <w:p w:rsidR="00000000" w:rsidDel="00000000" w:rsidP="00000000" w:rsidRDefault="00000000" w:rsidRPr="00000000" w14:paraId="0000000C">
      <w:pPr>
        <w:widowControl w:val="0"/>
        <w:spacing w:before="44.940185546875" w:line="240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44.940185546875" w:line="240" w:lineRule="auto"/>
        <w:rPr>
          <w:rFonts w:ascii="Proxima Nova" w:cs="Proxima Nova" w:eastAsia="Proxima Nova" w:hAnsi="Proxima Nova"/>
          <w:color w:val="1155cc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Citation 1: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CCSF Enrollment Fact Sheet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highlight w:val="white"/>
            <w:u w:val="single"/>
            <w:rtl w:val="0"/>
          </w:rPr>
          <w:t xml:space="preserve">https://archive.ccsf.edu/dam/Organizational_Assets/Department/Research_Planning_Grants/Reports/Fact_Sheets/Factsheet_Term_Enrollment.pdf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5.030517578125" w:line="240" w:lineRule="auto"/>
        <w:rPr>
          <w:rFonts w:ascii="Proxima Nova" w:cs="Proxima Nova" w:eastAsia="Proxima Nova" w:hAnsi="Proxima Nova"/>
          <w:color w:val="1155cc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Citation 2: ESL to Credit Course Transition Brief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https://archive.ccsf.edu/dam/Organizational_Assets/Department/Research_Planning_Grants/Reports/NC_ESL_to_CR_Transitions_Brief_20200413_ADA.pdf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27.5244140625" w:line="240" w:lineRule="auto"/>
        <w:rPr>
          <w:rFonts w:ascii="Proxima Nova" w:cs="Proxima Nova" w:eastAsia="Proxima Nova" w:hAnsi="Proxima Nov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Citation 3: Equity and Achievement Data: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https://archive.ccsf.edu/dam/Organizational_Assets/Department/Research_Planning_Grants/Reports/Student%20Equity%20and%20Achievement%20data_September2019.pdf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7.5244140625" w:line="240" w:lineRule="auto"/>
        <w:rPr>
          <w:rFonts w:ascii="Proxima Nova" w:cs="Proxima Nova" w:eastAsia="Proxima Nova" w:hAnsi="Proxima Nov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Citation 4: SSCCC Non-Credit Student Leader Resolution 2016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1155cc"/>
          <w:sz w:val="24"/>
          <w:szCs w:val="24"/>
          <w:u w:val="single"/>
          <w:rtl w:val="0"/>
        </w:rPr>
        <w:t xml:space="preserve">https://studentsenateccc.org/what-we-do/ssccc-resolutions.html?get_id=fNnxDi8RihBJxBw25JditnPZ7%252BSb%252F%252Fmq01l1qAe9bfMQCo1WdHpoPsawSxK%252BBU7HVByEj8sN3TbvHWwYX3qBCWE6NDp7czoyMDoiZGlzcGxheV91c2VyX2RldGFpbHMiO2I6MTtzOjc6InVzZXJfaWQiO2k6MjM1Njc5ODtzOjQ6ImRhdGUiO3M6MTQ6IjIwMjEwMjAxMDMwOTMwIjtzOjc6ImV4cGlyZXMiO2k6MDt9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chive.ccsf.edu/dam/Organizational_Assets/Department/Research_Planning_Grants/Reports/Student%20Equity%20and%20Achievement%20data_September2019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archive.ccsf.edu/dam/Organizational_Assets/Department/Research_Planning_Grants/Reports/Fact_Sheets/Factsheet_Term_Enrollment.pdf" TargetMode="External"/><Relationship Id="rId7" Type="http://schemas.openxmlformats.org/officeDocument/2006/relationships/hyperlink" Target="https://archive.ccsf.edu/dam/Organizational_Assets/Department/Research_Planning_Grants/Reports/NC_ESL_to_CR_Transitions_Brief_20200413_ADA.pdf" TargetMode="External"/><Relationship Id="rId8" Type="http://schemas.openxmlformats.org/officeDocument/2006/relationships/hyperlink" Target="https://archive.ccsf.edu/dam/Organizational_Assets/Department/Research_Planning_Grants/Reports/NC_ESL_to_CR_Transitions_Brief_20200413_ADA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